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A0B5" w14:textId="77777777" w:rsidR="00BE3557" w:rsidRPr="00BE3557" w:rsidRDefault="00BE3557" w:rsidP="00BE3557">
      <w:pPr>
        <w:jc w:val="center"/>
        <w:rPr>
          <w:b/>
          <w:bCs/>
          <w:sz w:val="24"/>
          <w:szCs w:val="24"/>
        </w:rPr>
      </w:pPr>
      <w:r w:rsidRPr="00BE3557">
        <w:rPr>
          <w:b/>
          <w:bCs/>
          <w:sz w:val="24"/>
          <w:szCs w:val="24"/>
        </w:rPr>
        <w:t xml:space="preserve">ASCC Arts and Humanities 2 Panel </w:t>
      </w:r>
    </w:p>
    <w:p w14:paraId="363A027B" w14:textId="7A685CC5" w:rsidR="00BE3557" w:rsidRPr="00BE3557" w:rsidRDefault="001816E3" w:rsidP="00BE3557">
      <w:pPr>
        <w:jc w:val="center"/>
        <w:rPr>
          <w:sz w:val="24"/>
          <w:szCs w:val="24"/>
        </w:rPr>
      </w:pPr>
      <w:r>
        <w:rPr>
          <w:sz w:val="24"/>
          <w:szCs w:val="24"/>
        </w:rPr>
        <w:t>Approved</w:t>
      </w:r>
      <w:r w:rsidR="00A76D55" w:rsidRPr="00BE3557">
        <w:rPr>
          <w:sz w:val="24"/>
          <w:szCs w:val="24"/>
        </w:rPr>
        <w:t xml:space="preserve"> </w:t>
      </w:r>
      <w:r w:rsidR="00BE3557" w:rsidRPr="00BE3557">
        <w:rPr>
          <w:sz w:val="24"/>
          <w:szCs w:val="24"/>
        </w:rPr>
        <w:t>Minutes</w:t>
      </w:r>
    </w:p>
    <w:p w14:paraId="6A7DFCCA" w14:textId="3A2CD89C" w:rsidR="00BE3557" w:rsidRPr="00BE3557" w:rsidRDefault="00BE3557" w:rsidP="00BE3557">
      <w:pPr>
        <w:rPr>
          <w:sz w:val="24"/>
          <w:szCs w:val="24"/>
        </w:rPr>
      </w:pPr>
      <w:r w:rsidRPr="00BE3557">
        <w:rPr>
          <w:sz w:val="24"/>
          <w:szCs w:val="24"/>
        </w:rPr>
        <w:t>Thursday, April 14, 2022</w:t>
      </w:r>
      <w:r w:rsidRPr="00BE3557">
        <w:rPr>
          <w:sz w:val="24"/>
          <w:szCs w:val="24"/>
        </w:rPr>
        <w:tab/>
      </w:r>
      <w:r w:rsidRPr="00BE3557">
        <w:rPr>
          <w:sz w:val="24"/>
          <w:szCs w:val="24"/>
        </w:rPr>
        <w:tab/>
      </w:r>
      <w:r w:rsidRPr="00BE3557">
        <w:rPr>
          <w:sz w:val="24"/>
          <w:szCs w:val="24"/>
        </w:rPr>
        <w:tab/>
      </w:r>
      <w:r w:rsidRPr="00BE3557">
        <w:rPr>
          <w:sz w:val="24"/>
          <w:szCs w:val="24"/>
        </w:rPr>
        <w:tab/>
      </w:r>
      <w:r w:rsidRPr="00BE3557">
        <w:rPr>
          <w:sz w:val="24"/>
          <w:szCs w:val="24"/>
        </w:rPr>
        <w:tab/>
      </w:r>
      <w:r w:rsidRPr="00BE3557">
        <w:rPr>
          <w:sz w:val="24"/>
          <w:szCs w:val="24"/>
        </w:rPr>
        <w:tab/>
      </w:r>
      <w:r w:rsidRPr="00BE3557">
        <w:rPr>
          <w:sz w:val="24"/>
          <w:szCs w:val="24"/>
        </w:rPr>
        <w:tab/>
        <w:t xml:space="preserve">     3:00 PM – 4:30 PM</w:t>
      </w:r>
    </w:p>
    <w:p w14:paraId="7E57BA47" w14:textId="77777777" w:rsidR="00BE3557" w:rsidRPr="00BE3557" w:rsidRDefault="00BE3557" w:rsidP="00BE3557">
      <w:pPr>
        <w:rPr>
          <w:sz w:val="24"/>
          <w:szCs w:val="24"/>
        </w:rPr>
      </w:pPr>
      <w:r w:rsidRPr="00BE3557">
        <w:rPr>
          <w:sz w:val="24"/>
          <w:szCs w:val="24"/>
        </w:rPr>
        <w:t>CarmenZoom</w:t>
      </w:r>
    </w:p>
    <w:p w14:paraId="1375A5D9" w14:textId="06924163" w:rsidR="00A12815" w:rsidRPr="00BE3557" w:rsidRDefault="00BE3557" w:rsidP="00BE3557">
      <w:pPr>
        <w:rPr>
          <w:b/>
          <w:bCs/>
          <w:sz w:val="24"/>
          <w:szCs w:val="24"/>
        </w:rPr>
      </w:pPr>
      <w:r w:rsidRPr="00BE3557">
        <w:rPr>
          <w:b/>
          <w:bCs/>
          <w:sz w:val="24"/>
          <w:szCs w:val="24"/>
        </w:rPr>
        <w:t>Attendees</w:t>
      </w:r>
      <w:r w:rsidRPr="00BE3557">
        <w:rPr>
          <w:sz w:val="24"/>
          <w:szCs w:val="24"/>
        </w:rPr>
        <w:t>: Bitters, Cody, Parsons, Romero, Steele, Vankeerbergen, Wilson</w:t>
      </w:r>
    </w:p>
    <w:p w14:paraId="23682471" w14:textId="336F4B94" w:rsidR="00A12815" w:rsidRPr="00BE3557" w:rsidRDefault="00A12815" w:rsidP="00A12815">
      <w:pPr>
        <w:numPr>
          <w:ilvl w:val="0"/>
          <w:numId w:val="2"/>
        </w:numPr>
        <w:rPr>
          <w:sz w:val="24"/>
          <w:szCs w:val="24"/>
        </w:rPr>
      </w:pPr>
      <w:r w:rsidRPr="00BE3557">
        <w:rPr>
          <w:sz w:val="24"/>
          <w:szCs w:val="24"/>
        </w:rPr>
        <w:t>Approval of 3-10-22 minutes</w:t>
      </w:r>
    </w:p>
    <w:p w14:paraId="4FB33838" w14:textId="44D12BFA" w:rsidR="00D629EA" w:rsidRPr="00BE3557" w:rsidRDefault="00BE3557" w:rsidP="00D629E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Paulsen, Wilson; </w:t>
      </w:r>
      <w:r>
        <w:rPr>
          <w:b/>
          <w:bCs/>
          <w:sz w:val="24"/>
          <w:szCs w:val="24"/>
        </w:rPr>
        <w:t xml:space="preserve">unanimously approved </w:t>
      </w:r>
      <w:r>
        <w:rPr>
          <w:sz w:val="24"/>
          <w:szCs w:val="24"/>
        </w:rPr>
        <w:t>with one abstention</w:t>
      </w:r>
      <w:r w:rsidR="0079758A" w:rsidRPr="00BE3557">
        <w:rPr>
          <w:sz w:val="24"/>
          <w:szCs w:val="24"/>
        </w:rPr>
        <w:t xml:space="preserve"> (Parsons)</w:t>
      </w:r>
    </w:p>
    <w:p w14:paraId="6D4AB5C6" w14:textId="0B44E905" w:rsidR="00A12815" w:rsidRPr="00BE3557" w:rsidRDefault="00A12815" w:rsidP="00A12815">
      <w:pPr>
        <w:numPr>
          <w:ilvl w:val="0"/>
          <w:numId w:val="2"/>
        </w:numPr>
        <w:rPr>
          <w:sz w:val="24"/>
          <w:szCs w:val="24"/>
        </w:rPr>
      </w:pPr>
      <w:r w:rsidRPr="00BE3557">
        <w:rPr>
          <w:sz w:val="24"/>
          <w:szCs w:val="24"/>
        </w:rPr>
        <w:t>Philosophy 2540 (new course)</w:t>
      </w:r>
    </w:p>
    <w:p w14:paraId="7DBB48AB" w14:textId="579026A9" w:rsidR="00B70166" w:rsidRPr="00F14B0F" w:rsidRDefault="00F14B0F" w:rsidP="00F14B0F">
      <w:pPr>
        <w:pStyle w:val="ListParagraph"/>
        <w:numPr>
          <w:ilvl w:val="1"/>
          <w:numId w:val="2"/>
        </w:numPr>
        <w:rPr>
          <w:rFonts w:eastAsia="Times New Roman"/>
          <w:b/>
          <w:bCs/>
          <w:sz w:val="24"/>
          <w:szCs w:val="24"/>
        </w:rPr>
      </w:pPr>
      <w:r w:rsidRPr="00F14B0F">
        <w:rPr>
          <w:rFonts w:eastAsia="Times New Roman"/>
          <w:b/>
          <w:bCs/>
          <w:sz w:val="24"/>
          <w:szCs w:val="24"/>
        </w:rPr>
        <w:t>The Panel asks that the course calendar outline in detail benchmarks and expectations for students on a day-by-day basis (rather than weekly), including specific due dates for any assignments</w:t>
      </w:r>
      <w:r>
        <w:rPr>
          <w:rFonts w:eastAsia="Times New Roman"/>
          <w:b/>
          <w:bCs/>
          <w:sz w:val="24"/>
          <w:szCs w:val="24"/>
        </w:rPr>
        <w:t xml:space="preserve"> and exams.</w:t>
      </w:r>
    </w:p>
    <w:p w14:paraId="6DAC2BB2" w14:textId="4F628063" w:rsidR="00884497" w:rsidRPr="00BE3557" w:rsidRDefault="00967EFB" w:rsidP="00884497">
      <w:pPr>
        <w:numPr>
          <w:ilvl w:val="1"/>
          <w:numId w:val="2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On page 5 of the syllabus, there is a reference to the course as an “online” class; the Panel recommends removing this language, as well as double-checking the syllabus document to edit out any similar discrepancies.</w:t>
      </w:r>
    </w:p>
    <w:p w14:paraId="7F172AA7" w14:textId="75BE9B27" w:rsidR="000825E5" w:rsidRPr="00BE3557" w:rsidRDefault="000825E5" w:rsidP="00884497">
      <w:pPr>
        <w:numPr>
          <w:ilvl w:val="1"/>
          <w:numId w:val="2"/>
        </w:numPr>
        <w:rPr>
          <w:sz w:val="24"/>
          <w:szCs w:val="24"/>
        </w:rPr>
      </w:pPr>
      <w:r w:rsidRPr="00BE3557">
        <w:rPr>
          <w:sz w:val="24"/>
          <w:szCs w:val="24"/>
        </w:rPr>
        <w:t xml:space="preserve">Parsons, Paulsen; </w:t>
      </w:r>
      <w:r w:rsidR="00F72633">
        <w:rPr>
          <w:b/>
          <w:bCs/>
          <w:sz w:val="24"/>
          <w:szCs w:val="24"/>
        </w:rPr>
        <w:t xml:space="preserve">unanimously approved </w:t>
      </w:r>
      <w:r w:rsidR="00F72633">
        <w:rPr>
          <w:sz w:val="24"/>
          <w:szCs w:val="24"/>
        </w:rPr>
        <w:t xml:space="preserve">with </w:t>
      </w:r>
      <w:r w:rsidR="00F72633">
        <w:rPr>
          <w:b/>
          <w:bCs/>
          <w:sz w:val="24"/>
          <w:szCs w:val="24"/>
        </w:rPr>
        <w:t>one (1) contingency</w:t>
      </w:r>
      <w:r w:rsidR="00F72633">
        <w:rPr>
          <w:sz w:val="24"/>
          <w:szCs w:val="24"/>
        </w:rPr>
        <w:t xml:space="preserve"> (in bold above) and </w:t>
      </w:r>
      <w:r w:rsidR="00F72633">
        <w:rPr>
          <w:i/>
          <w:iCs/>
          <w:sz w:val="24"/>
          <w:szCs w:val="24"/>
        </w:rPr>
        <w:t>one (1) recommendation</w:t>
      </w:r>
      <w:r w:rsidR="00F72633">
        <w:rPr>
          <w:sz w:val="24"/>
          <w:szCs w:val="24"/>
        </w:rPr>
        <w:t xml:space="preserve"> (in italics above)</w:t>
      </w:r>
    </w:p>
    <w:p w14:paraId="662C6C02" w14:textId="47F9A846" w:rsidR="00A12815" w:rsidRPr="00BE3557" w:rsidRDefault="00A12815" w:rsidP="00A12815">
      <w:pPr>
        <w:numPr>
          <w:ilvl w:val="0"/>
          <w:numId w:val="2"/>
        </w:numPr>
        <w:rPr>
          <w:sz w:val="24"/>
          <w:szCs w:val="24"/>
        </w:rPr>
      </w:pPr>
      <w:r w:rsidRPr="00BE3557">
        <w:rPr>
          <w:sz w:val="24"/>
          <w:szCs w:val="24"/>
        </w:rPr>
        <w:t>English 2367.09S (new course requesting new GE Theme Lived Environments with Service Learning High Impact Practice)</w:t>
      </w:r>
    </w:p>
    <w:p w14:paraId="4FB96F27" w14:textId="094C9B15" w:rsidR="00DF70FC" w:rsidRPr="00BE3557" w:rsidRDefault="009E0301" w:rsidP="00DF70FC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Panel asks that the department reconsider the course number; when taught in AU22, this class will </w:t>
      </w:r>
      <w:r w:rsidR="00FB70B3">
        <w:rPr>
          <w:sz w:val="24"/>
          <w:szCs w:val="24"/>
        </w:rPr>
        <w:t>not</w:t>
      </w:r>
      <w:r>
        <w:rPr>
          <w:sz w:val="24"/>
          <w:szCs w:val="24"/>
        </w:rPr>
        <w:t xml:space="preserve"> be </w:t>
      </w:r>
      <w:r w:rsidR="00FB70B3">
        <w:rPr>
          <w:sz w:val="24"/>
          <w:szCs w:val="24"/>
        </w:rPr>
        <w:t xml:space="preserve">a </w:t>
      </w:r>
      <w:r>
        <w:rPr>
          <w:sz w:val="24"/>
          <w:szCs w:val="24"/>
        </w:rPr>
        <w:t>second-year writing</w:t>
      </w:r>
      <w:r w:rsidR="00FB70B3">
        <w:rPr>
          <w:sz w:val="24"/>
          <w:szCs w:val="24"/>
        </w:rPr>
        <w:t xml:space="preserve"> course</w:t>
      </w:r>
      <w:r>
        <w:rPr>
          <w:sz w:val="24"/>
          <w:szCs w:val="24"/>
        </w:rPr>
        <w:t xml:space="preserve">, which “2367” currently denotes in the Legacy GE.  </w:t>
      </w:r>
    </w:p>
    <w:p w14:paraId="52E516AB" w14:textId="6A7DEAA3" w:rsidR="00FC4990" w:rsidRPr="00BE3557" w:rsidRDefault="00726D2D" w:rsidP="00DF70FC">
      <w:pPr>
        <w:numPr>
          <w:ilvl w:val="1"/>
          <w:numId w:val="2"/>
        </w:numPr>
        <w:rPr>
          <w:sz w:val="24"/>
          <w:szCs w:val="24"/>
        </w:rPr>
      </w:pPr>
      <w:r w:rsidRPr="00726D2D">
        <w:rPr>
          <w:sz w:val="24"/>
          <w:szCs w:val="24"/>
        </w:rPr>
        <w:t xml:space="preserve">The Panel requests clarification about how this course will fulfill minimum direct instruction hours for a </w:t>
      </w:r>
      <w:r>
        <w:rPr>
          <w:sz w:val="24"/>
          <w:szCs w:val="24"/>
        </w:rPr>
        <w:t>4</w:t>
      </w:r>
      <w:r w:rsidRPr="00726D2D">
        <w:rPr>
          <w:sz w:val="24"/>
          <w:szCs w:val="24"/>
        </w:rPr>
        <w:t>-credit-hour class</w:t>
      </w:r>
      <w:r>
        <w:rPr>
          <w:sz w:val="24"/>
          <w:szCs w:val="24"/>
        </w:rPr>
        <w:t xml:space="preserve">. </w:t>
      </w:r>
      <w:r w:rsidRPr="00726D2D">
        <w:rPr>
          <w:sz w:val="24"/>
          <w:szCs w:val="24"/>
        </w:rPr>
        <w:t xml:space="preserve"> </w:t>
      </w:r>
      <w:r>
        <w:rPr>
          <w:sz w:val="24"/>
          <w:szCs w:val="24"/>
        </w:rPr>
        <w:t>Specifically, what accounts for the fourth credit hour of contact time</w:t>
      </w:r>
      <w:r w:rsidR="00054F5D" w:rsidRPr="00BE3557">
        <w:rPr>
          <w:sz w:val="24"/>
          <w:szCs w:val="24"/>
        </w:rPr>
        <w:t>?</w:t>
      </w:r>
      <w:r w:rsidR="00394F5D" w:rsidRPr="00BE3557">
        <w:rPr>
          <w:sz w:val="24"/>
          <w:szCs w:val="24"/>
        </w:rPr>
        <w:t xml:space="preserve">  Is this part of service</w:t>
      </w:r>
      <w:r>
        <w:rPr>
          <w:sz w:val="24"/>
          <w:szCs w:val="24"/>
        </w:rPr>
        <w:t>-</w:t>
      </w:r>
      <w:r w:rsidR="00394F5D" w:rsidRPr="00BE3557">
        <w:rPr>
          <w:sz w:val="24"/>
          <w:szCs w:val="24"/>
        </w:rPr>
        <w:t xml:space="preserve">learning hours for </w:t>
      </w:r>
      <w:r>
        <w:rPr>
          <w:sz w:val="24"/>
          <w:szCs w:val="24"/>
        </w:rPr>
        <w:t>a</w:t>
      </w:r>
      <w:r w:rsidR="00394F5D" w:rsidRPr="00BE3557">
        <w:rPr>
          <w:sz w:val="24"/>
          <w:szCs w:val="24"/>
        </w:rPr>
        <w:t xml:space="preserve"> project, perhaps?</w:t>
      </w:r>
      <w:r w:rsidR="00BB56C2" w:rsidRPr="00BE3557">
        <w:rPr>
          <w:sz w:val="24"/>
          <w:szCs w:val="24"/>
        </w:rPr>
        <w:t xml:space="preserve">  </w:t>
      </w:r>
      <w:r>
        <w:rPr>
          <w:sz w:val="24"/>
          <w:szCs w:val="24"/>
        </w:rPr>
        <w:t>A certain amount of f</w:t>
      </w:r>
      <w:r w:rsidR="00BB56C2" w:rsidRPr="00BE3557">
        <w:rPr>
          <w:sz w:val="24"/>
          <w:szCs w:val="24"/>
        </w:rPr>
        <w:t>ieldwork required for each week?</w:t>
      </w:r>
    </w:p>
    <w:p w14:paraId="0F76480B" w14:textId="77777777" w:rsidR="00C061D9" w:rsidRDefault="00C061D9" w:rsidP="00DF70FC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Please amend the syllabus to include assignment descriptions.  </w:t>
      </w:r>
    </w:p>
    <w:p w14:paraId="5B0DF1AE" w14:textId="418A2BB8" w:rsidR="004B5A5C" w:rsidRPr="00C061D9" w:rsidRDefault="00C061D9" w:rsidP="00C061D9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Pr="00C061D9">
        <w:rPr>
          <w:sz w:val="24"/>
          <w:szCs w:val="24"/>
        </w:rPr>
        <w:t xml:space="preserve">explain in the syllabus </w:t>
      </w:r>
      <w:r>
        <w:rPr>
          <w:sz w:val="24"/>
          <w:szCs w:val="24"/>
        </w:rPr>
        <w:t>the</w:t>
      </w:r>
      <w:r w:rsidRPr="00C061D9">
        <w:rPr>
          <w:sz w:val="24"/>
          <w:szCs w:val="24"/>
        </w:rPr>
        <w:t xml:space="preserve"> service</w:t>
      </w:r>
      <w:r>
        <w:rPr>
          <w:sz w:val="24"/>
          <w:szCs w:val="24"/>
        </w:rPr>
        <w:t>-</w:t>
      </w:r>
      <w:r w:rsidRPr="00C061D9">
        <w:rPr>
          <w:sz w:val="24"/>
          <w:szCs w:val="24"/>
        </w:rPr>
        <w:t>learning component</w:t>
      </w:r>
      <w:r>
        <w:rPr>
          <w:sz w:val="24"/>
          <w:szCs w:val="24"/>
        </w:rPr>
        <w:t xml:space="preserve"> of the course</w:t>
      </w:r>
      <w:r w:rsidR="00321287">
        <w:rPr>
          <w:sz w:val="24"/>
          <w:szCs w:val="24"/>
        </w:rPr>
        <w:t xml:space="preserve">. One or more specific community partner should </w:t>
      </w:r>
      <w:r w:rsidR="00FF3E17">
        <w:rPr>
          <w:sz w:val="24"/>
          <w:szCs w:val="24"/>
        </w:rPr>
        <w:t xml:space="preserve">already </w:t>
      </w:r>
      <w:r w:rsidR="00321287">
        <w:rPr>
          <w:sz w:val="24"/>
          <w:szCs w:val="24"/>
        </w:rPr>
        <w:t xml:space="preserve">be identified (and the necessary conversations with that organization be had before course submission). The planned service activities to be performed by the students should reflect priorities and stated goals/needs of the community partner.  </w:t>
      </w:r>
      <w:r w:rsidR="002844C9">
        <w:rPr>
          <w:sz w:val="24"/>
          <w:szCs w:val="24"/>
        </w:rPr>
        <w:t xml:space="preserve">The panel recommend that the faculty member consult with </w:t>
      </w:r>
      <w:r>
        <w:rPr>
          <w:sz w:val="24"/>
          <w:szCs w:val="24"/>
        </w:rPr>
        <w:t xml:space="preserve">Claire </w:t>
      </w:r>
      <w:r w:rsidRPr="00BE3557">
        <w:rPr>
          <w:sz w:val="24"/>
          <w:szCs w:val="24"/>
        </w:rPr>
        <w:t>Sweigart</w:t>
      </w:r>
      <w:r>
        <w:rPr>
          <w:sz w:val="24"/>
          <w:szCs w:val="24"/>
        </w:rPr>
        <w:t>(</w:t>
      </w:r>
      <w:r w:rsidRPr="00BE3557">
        <w:rPr>
          <w:sz w:val="24"/>
          <w:szCs w:val="24"/>
        </w:rPr>
        <w:t>.10</w:t>
      </w:r>
      <w:r>
        <w:rPr>
          <w:sz w:val="24"/>
          <w:szCs w:val="24"/>
        </w:rPr>
        <w:t>)</w:t>
      </w:r>
      <w:r w:rsidRPr="00C061D9">
        <w:rPr>
          <w:sz w:val="24"/>
          <w:szCs w:val="24"/>
        </w:rPr>
        <w:t xml:space="preserve"> </w:t>
      </w:r>
      <w:r w:rsidR="002844C9">
        <w:rPr>
          <w:sz w:val="24"/>
          <w:szCs w:val="24"/>
        </w:rPr>
        <w:t xml:space="preserve">, </w:t>
      </w:r>
      <w:r w:rsidR="002844C9">
        <w:rPr>
          <w:sz w:val="24"/>
          <w:szCs w:val="24"/>
        </w:rPr>
        <w:lastRenderedPageBreak/>
        <w:t>Program Director of the Office of Service Learning.</w:t>
      </w:r>
      <w:r w:rsidR="00A76D55">
        <w:rPr>
          <w:sz w:val="24"/>
          <w:szCs w:val="24"/>
        </w:rPr>
        <w:t xml:space="preserve">  </w:t>
      </w:r>
      <w:r w:rsidR="002844C9">
        <w:rPr>
          <w:sz w:val="24"/>
          <w:szCs w:val="24"/>
        </w:rPr>
        <w:t>She will be able to provide invaluable assistance with the various components of a service learning course.</w:t>
      </w:r>
    </w:p>
    <w:p w14:paraId="445F1FE7" w14:textId="27D5D8BB" w:rsidR="00867614" w:rsidRPr="00846DC3" w:rsidRDefault="00846DC3" w:rsidP="00DF70FC">
      <w:pPr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 Vote</w:t>
      </w:r>
    </w:p>
    <w:p w14:paraId="513864F6" w14:textId="738E066C" w:rsidR="00A12815" w:rsidRPr="00BE3557" w:rsidRDefault="00A12815" w:rsidP="00A12815">
      <w:pPr>
        <w:numPr>
          <w:ilvl w:val="0"/>
          <w:numId w:val="2"/>
        </w:numPr>
        <w:rPr>
          <w:sz w:val="24"/>
          <w:szCs w:val="24"/>
        </w:rPr>
      </w:pPr>
      <w:r w:rsidRPr="00BE3557">
        <w:rPr>
          <w:sz w:val="24"/>
          <w:szCs w:val="24"/>
        </w:rPr>
        <w:t>History 3676 (new course requesting new GE Theme: Citizenship for a Diverse and Just World)</w:t>
      </w:r>
    </w:p>
    <w:p w14:paraId="7E627E58" w14:textId="30322AA0" w:rsidR="003A07FC" w:rsidRPr="00BE3557" w:rsidRDefault="00860171" w:rsidP="00867614">
      <w:pPr>
        <w:numPr>
          <w:ilvl w:val="1"/>
          <w:numId w:val="2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The Panel recommends including further information regarding what the Title IX project entails, possibly adding a trigger warning statement in the assignment description </w:t>
      </w:r>
      <w:r w:rsidR="00C339B5">
        <w:rPr>
          <w:i/>
          <w:iCs/>
          <w:sz w:val="24"/>
          <w:szCs w:val="24"/>
        </w:rPr>
        <w:t>should the content merit one</w:t>
      </w:r>
      <w:r>
        <w:rPr>
          <w:i/>
          <w:iCs/>
          <w:sz w:val="24"/>
          <w:szCs w:val="24"/>
        </w:rPr>
        <w:t xml:space="preserve">. </w:t>
      </w:r>
    </w:p>
    <w:p w14:paraId="2A9952A6" w14:textId="09899EB2" w:rsidR="00867614" w:rsidRPr="00BE3557" w:rsidRDefault="00285E2C" w:rsidP="00867614">
      <w:pPr>
        <w:numPr>
          <w:ilvl w:val="1"/>
          <w:numId w:val="2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The Panel found the extra credit provisions difficult to decipher, and thus </w:t>
      </w:r>
      <w:r w:rsidR="00704B99">
        <w:rPr>
          <w:i/>
          <w:iCs/>
          <w:sz w:val="24"/>
          <w:szCs w:val="24"/>
        </w:rPr>
        <w:t xml:space="preserve">kindly </w:t>
      </w:r>
      <w:r>
        <w:rPr>
          <w:i/>
          <w:iCs/>
          <w:sz w:val="24"/>
          <w:szCs w:val="24"/>
        </w:rPr>
        <w:t>recommend</w:t>
      </w:r>
      <w:r w:rsidR="00FB70B3">
        <w:rPr>
          <w:i/>
          <w:iCs/>
          <w:sz w:val="24"/>
          <w:szCs w:val="24"/>
        </w:rPr>
        <w:t>s</w:t>
      </w:r>
      <w:r>
        <w:rPr>
          <w:i/>
          <w:iCs/>
          <w:sz w:val="24"/>
          <w:szCs w:val="24"/>
        </w:rPr>
        <w:t xml:space="preserve"> clarifying/rephrasing this section in a way that will prove more accessible to students.  </w:t>
      </w:r>
    </w:p>
    <w:p w14:paraId="2C5F1132" w14:textId="3FF71832" w:rsidR="00F04064" w:rsidRPr="00E47F58" w:rsidRDefault="00E47F58" w:rsidP="00E47F58">
      <w:pPr>
        <w:pStyle w:val="ListParagraph"/>
        <w:numPr>
          <w:ilvl w:val="1"/>
          <w:numId w:val="2"/>
        </w:numPr>
        <w:rPr>
          <w:i/>
          <w:iCs/>
          <w:sz w:val="24"/>
          <w:szCs w:val="24"/>
        </w:rPr>
      </w:pPr>
      <w:r w:rsidRPr="00E47F58">
        <w:rPr>
          <w:i/>
          <w:iCs/>
          <w:sz w:val="24"/>
          <w:szCs w:val="24"/>
        </w:rPr>
        <w:t xml:space="preserve">The Panel suggests that the department include the most up-to-date version of the University’s Title IX statement, which can be found here: </w:t>
      </w:r>
      <w:hyperlink r:id="rId6" w:history="1">
        <w:r w:rsidRPr="00E47F58">
          <w:rPr>
            <w:rStyle w:val="Hyperlink"/>
            <w:i/>
            <w:iCs/>
            <w:sz w:val="24"/>
            <w:szCs w:val="24"/>
          </w:rPr>
          <w:t>https://asccas.osu.edu/curriculum/syllabus-elements</w:t>
        </w:r>
      </w:hyperlink>
      <w:r w:rsidRPr="00E47F58">
        <w:rPr>
          <w:i/>
          <w:iCs/>
          <w:sz w:val="24"/>
          <w:szCs w:val="24"/>
        </w:rPr>
        <w:t xml:space="preserve"> </w:t>
      </w:r>
    </w:p>
    <w:p w14:paraId="3C70E7BC" w14:textId="706F18FB" w:rsidR="001B2DAB" w:rsidRPr="00BE3557" w:rsidRDefault="001B2DAB" w:rsidP="00867614">
      <w:pPr>
        <w:numPr>
          <w:ilvl w:val="1"/>
          <w:numId w:val="2"/>
        </w:numPr>
        <w:rPr>
          <w:sz w:val="24"/>
          <w:szCs w:val="24"/>
        </w:rPr>
      </w:pPr>
      <w:r w:rsidRPr="00BE3557">
        <w:rPr>
          <w:sz w:val="24"/>
          <w:szCs w:val="24"/>
        </w:rPr>
        <w:t xml:space="preserve">Wilson, Parsons; </w:t>
      </w:r>
      <w:r w:rsidR="00CE12BB">
        <w:rPr>
          <w:b/>
          <w:bCs/>
          <w:sz w:val="24"/>
          <w:szCs w:val="24"/>
        </w:rPr>
        <w:t xml:space="preserve">unanimously approved </w:t>
      </w:r>
      <w:r w:rsidR="00CE12BB">
        <w:rPr>
          <w:sz w:val="24"/>
          <w:szCs w:val="24"/>
        </w:rPr>
        <w:t xml:space="preserve">with </w:t>
      </w:r>
      <w:r w:rsidR="00CE12BB">
        <w:rPr>
          <w:i/>
          <w:iCs/>
          <w:sz w:val="24"/>
          <w:szCs w:val="24"/>
        </w:rPr>
        <w:t xml:space="preserve">three (3) recommendations </w:t>
      </w:r>
      <w:r w:rsidR="00CE12BB">
        <w:rPr>
          <w:sz w:val="24"/>
          <w:szCs w:val="24"/>
        </w:rPr>
        <w:t>(in italics above)</w:t>
      </w:r>
    </w:p>
    <w:p w14:paraId="7B862235" w14:textId="3E57C433" w:rsidR="00A12815" w:rsidRPr="00BE3557" w:rsidRDefault="00A12815" w:rsidP="00A12815">
      <w:pPr>
        <w:numPr>
          <w:ilvl w:val="0"/>
          <w:numId w:val="2"/>
        </w:numPr>
        <w:rPr>
          <w:sz w:val="24"/>
          <w:szCs w:val="24"/>
        </w:rPr>
      </w:pPr>
      <w:r w:rsidRPr="00BE3557">
        <w:rPr>
          <w:sz w:val="24"/>
          <w:szCs w:val="24"/>
        </w:rPr>
        <w:t>Music 3010 (new course requesting new GE Theme Health &amp; Wellbeing with Interdisciplinary Team-Teaching High Impact Practice) (return)</w:t>
      </w:r>
    </w:p>
    <w:p w14:paraId="480E9E23" w14:textId="3ADBF2B2" w:rsidR="00BB247E" w:rsidRPr="00BE3557" w:rsidRDefault="006D107A" w:rsidP="00BB247E">
      <w:pPr>
        <w:numPr>
          <w:ilvl w:val="1"/>
          <w:numId w:val="2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The Panel recommends double-checking the dates on the course schedule, particularly those pertaining to labs, as certain weeks appear to overlap and/or display contradicting calendar information.  </w:t>
      </w:r>
    </w:p>
    <w:p w14:paraId="65D747D6" w14:textId="20A6C850" w:rsidR="008141AE" w:rsidRPr="00BE3557" w:rsidRDefault="00E0775C" w:rsidP="00BB247E">
      <w:pPr>
        <w:numPr>
          <w:ilvl w:val="1"/>
          <w:numId w:val="2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The Panel </w:t>
      </w:r>
      <w:r w:rsidR="00F97B7F">
        <w:rPr>
          <w:i/>
          <w:iCs/>
          <w:sz w:val="24"/>
          <w:szCs w:val="24"/>
        </w:rPr>
        <w:t xml:space="preserve">suggests using the term “recitation” in place of “lab” since this might become a point of confusion for other committees as the course moves through the approval process. </w:t>
      </w:r>
    </w:p>
    <w:p w14:paraId="23D01CFF" w14:textId="39538FBA" w:rsidR="002F53DB" w:rsidRPr="00BE3557" w:rsidRDefault="002F53DB" w:rsidP="00BB247E">
      <w:pPr>
        <w:numPr>
          <w:ilvl w:val="1"/>
          <w:numId w:val="2"/>
        </w:numPr>
        <w:rPr>
          <w:sz w:val="24"/>
          <w:szCs w:val="24"/>
        </w:rPr>
      </w:pPr>
      <w:r w:rsidRPr="00BE3557">
        <w:rPr>
          <w:sz w:val="24"/>
          <w:szCs w:val="24"/>
        </w:rPr>
        <w:t xml:space="preserve">Wilson, Paulsen; </w:t>
      </w:r>
      <w:r w:rsidR="00E0775C">
        <w:rPr>
          <w:b/>
          <w:bCs/>
          <w:sz w:val="24"/>
          <w:szCs w:val="24"/>
        </w:rPr>
        <w:t xml:space="preserve">unanimously approved </w:t>
      </w:r>
      <w:r w:rsidR="00E0775C">
        <w:rPr>
          <w:sz w:val="24"/>
          <w:szCs w:val="24"/>
        </w:rPr>
        <w:t xml:space="preserve">with </w:t>
      </w:r>
      <w:r w:rsidR="00E0775C">
        <w:rPr>
          <w:i/>
          <w:iCs/>
          <w:sz w:val="24"/>
          <w:szCs w:val="24"/>
        </w:rPr>
        <w:t>two (2) recommendations</w:t>
      </w:r>
      <w:r w:rsidR="00E0775C">
        <w:rPr>
          <w:sz w:val="24"/>
          <w:szCs w:val="24"/>
        </w:rPr>
        <w:t xml:space="preserve"> (in italics above)</w:t>
      </w:r>
    </w:p>
    <w:p w14:paraId="6998A7A8" w14:textId="66417581" w:rsidR="00C871E2" w:rsidRPr="00240407" w:rsidRDefault="00A12815" w:rsidP="00502D49">
      <w:pPr>
        <w:numPr>
          <w:ilvl w:val="0"/>
          <w:numId w:val="2"/>
        </w:numPr>
        <w:rPr>
          <w:sz w:val="24"/>
          <w:szCs w:val="24"/>
        </w:rPr>
      </w:pPr>
      <w:r w:rsidRPr="00BE3557">
        <w:rPr>
          <w:sz w:val="24"/>
          <w:szCs w:val="24"/>
        </w:rPr>
        <w:t>German/Scandinavian 3354 (new cross-listed courses; requesting new GE Theme: Sustainability</w:t>
      </w:r>
    </w:p>
    <w:p w14:paraId="176A4E3F" w14:textId="0C44ABED" w:rsidR="00CA15E0" w:rsidRPr="00990D17" w:rsidRDefault="0086665A" w:rsidP="00502D49">
      <w:pPr>
        <w:numPr>
          <w:ilvl w:val="1"/>
          <w:numId w:val="2"/>
        </w:numPr>
        <w:rPr>
          <w:sz w:val="24"/>
          <w:szCs w:val="24"/>
        </w:rPr>
      </w:pPr>
      <w:r w:rsidRPr="00990D17">
        <w:rPr>
          <w:sz w:val="24"/>
          <w:szCs w:val="24"/>
        </w:rPr>
        <w:t xml:space="preserve">Parsons, Paulsen; </w:t>
      </w:r>
      <w:r w:rsidR="004B2042" w:rsidRPr="00990D17">
        <w:rPr>
          <w:b/>
          <w:bCs/>
          <w:sz w:val="24"/>
          <w:szCs w:val="24"/>
        </w:rPr>
        <w:t xml:space="preserve">unanimously approved </w:t>
      </w:r>
    </w:p>
    <w:sectPr w:rsidR="00CA15E0" w:rsidRPr="00990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2264"/>
    <w:multiLevelType w:val="multilevel"/>
    <w:tmpl w:val="C1F44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E80853"/>
    <w:multiLevelType w:val="multilevel"/>
    <w:tmpl w:val="2702F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15"/>
    <w:rsid w:val="00013F23"/>
    <w:rsid w:val="00054F5D"/>
    <w:rsid w:val="00054FA4"/>
    <w:rsid w:val="000825E5"/>
    <w:rsid w:val="000A727A"/>
    <w:rsid w:val="0010024B"/>
    <w:rsid w:val="001816E3"/>
    <w:rsid w:val="001B2DAB"/>
    <w:rsid w:val="001D208F"/>
    <w:rsid w:val="001D471C"/>
    <w:rsid w:val="00240407"/>
    <w:rsid w:val="002844C9"/>
    <w:rsid w:val="00285E2C"/>
    <w:rsid w:val="00297955"/>
    <w:rsid w:val="002B1A40"/>
    <w:rsid w:val="002E07D9"/>
    <w:rsid w:val="002F53DB"/>
    <w:rsid w:val="00321287"/>
    <w:rsid w:val="00394F5D"/>
    <w:rsid w:val="003A07FC"/>
    <w:rsid w:val="003A1A89"/>
    <w:rsid w:val="004B2042"/>
    <w:rsid w:val="004B4C51"/>
    <w:rsid w:val="004B5A5C"/>
    <w:rsid w:val="00502D49"/>
    <w:rsid w:val="005230F6"/>
    <w:rsid w:val="0052553C"/>
    <w:rsid w:val="0058182F"/>
    <w:rsid w:val="006747F6"/>
    <w:rsid w:val="00676F87"/>
    <w:rsid w:val="006D107A"/>
    <w:rsid w:val="00704B99"/>
    <w:rsid w:val="00726D2D"/>
    <w:rsid w:val="0079758A"/>
    <w:rsid w:val="007A6868"/>
    <w:rsid w:val="008115E5"/>
    <w:rsid w:val="008141AE"/>
    <w:rsid w:val="00846DC3"/>
    <w:rsid w:val="00860171"/>
    <w:rsid w:val="0086665A"/>
    <w:rsid w:val="00867614"/>
    <w:rsid w:val="00884497"/>
    <w:rsid w:val="008C417A"/>
    <w:rsid w:val="00920002"/>
    <w:rsid w:val="0095005E"/>
    <w:rsid w:val="00957FB2"/>
    <w:rsid w:val="00967EFB"/>
    <w:rsid w:val="00990D17"/>
    <w:rsid w:val="009E0301"/>
    <w:rsid w:val="00A12815"/>
    <w:rsid w:val="00A76D55"/>
    <w:rsid w:val="00B70166"/>
    <w:rsid w:val="00BB247E"/>
    <w:rsid w:val="00BB56C2"/>
    <w:rsid w:val="00BD6278"/>
    <w:rsid w:val="00BE3557"/>
    <w:rsid w:val="00C061D9"/>
    <w:rsid w:val="00C339B5"/>
    <w:rsid w:val="00C871E2"/>
    <w:rsid w:val="00CA15E0"/>
    <w:rsid w:val="00CD2B37"/>
    <w:rsid w:val="00CE12BB"/>
    <w:rsid w:val="00D44AF4"/>
    <w:rsid w:val="00D629EA"/>
    <w:rsid w:val="00DF70FC"/>
    <w:rsid w:val="00E0775C"/>
    <w:rsid w:val="00E47F58"/>
    <w:rsid w:val="00E66A44"/>
    <w:rsid w:val="00E6730F"/>
    <w:rsid w:val="00F04064"/>
    <w:rsid w:val="00F13CF4"/>
    <w:rsid w:val="00F14B0F"/>
    <w:rsid w:val="00F72633"/>
    <w:rsid w:val="00F97B7F"/>
    <w:rsid w:val="00FB70B3"/>
    <w:rsid w:val="00FC4990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D968"/>
  <w15:chartTrackingRefBased/>
  <w15:docId w15:val="{A22F8BD9-8291-4424-85B5-33096032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F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F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F3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E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E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E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sccas.osu.edu/curriculum/syllabus-elem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DB617-3C45-44B8-A461-70950584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Cody, Emily</dc:creator>
  <cp:keywords/>
  <dc:description/>
  <cp:lastModifiedBy>Cody, Emily</cp:lastModifiedBy>
  <cp:revision>3</cp:revision>
  <dcterms:created xsi:type="dcterms:W3CDTF">2022-04-28T20:21:00Z</dcterms:created>
  <dcterms:modified xsi:type="dcterms:W3CDTF">2022-04-28T20:21:00Z</dcterms:modified>
</cp:coreProperties>
</file>